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89" w:rsidRPr="00CF0C0C" w:rsidRDefault="00A36D89" w:rsidP="00A36D89">
      <w:pPr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b/>
          <w:sz w:val="28"/>
        </w:rPr>
        <w:t>В -2</w:t>
      </w:r>
    </w:p>
    <w:p w:rsidR="00A36D89" w:rsidRPr="00CF0C0C" w:rsidRDefault="00A36D89" w:rsidP="00A36D8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b/>
          <w:sz w:val="28"/>
        </w:rPr>
        <w:t>1.</w:t>
      </w:r>
      <w:r w:rsidRPr="00CF0C0C">
        <w:rPr>
          <w:rFonts w:ascii="Times New Roman" w:hAnsi="Times New Roman" w:cs="Times New Roman"/>
          <w:sz w:val="28"/>
        </w:rPr>
        <w:t xml:space="preserve"> Гранулированный колчедан подается в печь обжига </w:t>
      </w:r>
      <w:r>
        <w:rPr>
          <w:rFonts w:ascii="Times New Roman" w:hAnsi="Times New Roman" w:cs="Times New Roman"/>
          <w:sz w:val="28"/>
        </w:rPr>
        <w:t>с движущимся слоем колчедана. Ф</w:t>
      </w:r>
      <w:r w:rsidRPr="00CF0C0C">
        <w:rPr>
          <w:rFonts w:ascii="Times New Roman" w:hAnsi="Times New Roman" w:cs="Times New Roman"/>
          <w:sz w:val="28"/>
        </w:rPr>
        <w:t xml:space="preserve">ракционный состав колчедана следующий: 10 % массовых долей частиц с </w:t>
      </w:r>
      <w:r w:rsidRPr="00CF0C0C">
        <w:rPr>
          <w:rFonts w:ascii="Times New Roman" w:hAnsi="Times New Roman" w:cs="Times New Roman"/>
          <w:sz w:val="28"/>
          <w:lang w:val="en-US"/>
        </w:rPr>
        <w:t>R</w:t>
      </w:r>
      <w:r w:rsidRPr="00CF0C0C">
        <w:rPr>
          <w:rFonts w:ascii="Times New Roman" w:hAnsi="Times New Roman" w:cs="Times New Roman"/>
          <w:sz w:val="28"/>
          <w:vertAlign w:val="subscript"/>
        </w:rPr>
        <w:t>0</w:t>
      </w:r>
      <w:r w:rsidRPr="00CF0C0C">
        <w:rPr>
          <w:rFonts w:ascii="Times New Roman" w:hAnsi="Times New Roman" w:cs="Times New Roman"/>
          <w:sz w:val="28"/>
        </w:rPr>
        <w:t xml:space="preserve"> = 3 </w:t>
      </w:r>
      <w:proofErr w:type="gramStart"/>
      <w:r w:rsidRPr="00CF0C0C">
        <w:rPr>
          <w:rFonts w:ascii="Times New Roman" w:hAnsi="Times New Roman" w:cs="Times New Roman"/>
          <w:sz w:val="28"/>
        </w:rPr>
        <w:t>мм;  20</w:t>
      </w:r>
      <w:proofErr w:type="gramEnd"/>
      <w:r w:rsidRPr="00CF0C0C">
        <w:rPr>
          <w:rFonts w:ascii="Times New Roman" w:hAnsi="Times New Roman" w:cs="Times New Roman"/>
          <w:sz w:val="28"/>
        </w:rPr>
        <w:t xml:space="preserve"> % массовых долей частиц с </w:t>
      </w:r>
      <w:r w:rsidRPr="00CF0C0C">
        <w:rPr>
          <w:rFonts w:ascii="Times New Roman" w:hAnsi="Times New Roman" w:cs="Times New Roman"/>
          <w:sz w:val="28"/>
          <w:lang w:val="en-US"/>
        </w:rPr>
        <w:t>R</w:t>
      </w:r>
      <w:r w:rsidRPr="00CF0C0C">
        <w:rPr>
          <w:rFonts w:ascii="Times New Roman" w:hAnsi="Times New Roman" w:cs="Times New Roman"/>
          <w:sz w:val="28"/>
          <w:vertAlign w:val="subscript"/>
        </w:rPr>
        <w:t>0</w:t>
      </w:r>
      <w:r w:rsidRPr="00CF0C0C">
        <w:rPr>
          <w:rFonts w:ascii="Times New Roman" w:hAnsi="Times New Roman" w:cs="Times New Roman"/>
          <w:sz w:val="28"/>
        </w:rPr>
        <w:t xml:space="preserve"> = 4 мм, 70 % массовых долей частиц с </w:t>
      </w:r>
      <w:r w:rsidRPr="00CF0C0C">
        <w:rPr>
          <w:rFonts w:ascii="Times New Roman" w:hAnsi="Times New Roman" w:cs="Times New Roman"/>
          <w:sz w:val="28"/>
          <w:lang w:val="en-US"/>
        </w:rPr>
        <w:t>R</w:t>
      </w:r>
      <w:r w:rsidRPr="00CF0C0C">
        <w:rPr>
          <w:rFonts w:ascii="Times New Roman" w:hAnsi="Times New Roman" w:cs="Times New Roman"/>
          <w:sz w:val="28"/>
          <w:vertAlign w:val="subscript"/>
        </w:rPr>
        <w:t>0</w:t>
      </w:r>
      <w:r w:rsidRPr="00CF0C0C">
        <w:rPr>
          <w:rFonts w:ascii="Times New Roman" w:hAnsi="Times New Roman" w:cs="Times New Roman"/>
          <w:sz w:val="28"/>
        </w:rPr>
        <w:t xml:space="preserve"> = 6 мм. Среднее время пребывания частиц в зоне реакции равно 6 мин. Время полного сгорания частиц равно соответственно 3,5; 5 и 8 мин.</w:t>
      </w:r>
    </w:p>
    <w:p w:rsidR="00A36D89" w:rsidRPr="00CF0C0C" w:rsidRDefault="00A36D89" w:rsidP="00A36D8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sz w:val="28"/>
        </w:rPr>
        <w:t>Определить среднюю степень превращения колчедана, если процесс лимитируется:</w:t>
      </w:r>
    </w:p>
    <w:p w:rsidR="00A36D89" w:rsidRPr="00CF0C0C" w:rsidRDefault="00A36D89" w:rsidP="00A36D8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sz w:val="28"/>
        </w:rPr>
        <w:t>1) химической реакцией;</w:t>
      </w:r>
    </w:p>
    <w:p w:rsidR="00A36D89" w:rsidRPr="00CF0C0C" w:rsidRDefault="00A36D89" w:rsidP="00A36D8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sz w:val="28"/>
        </w:rPr>
        <w:t>2) внешней диффузией;</w:t>
      </w:r>
    </w:p>
    <w:p w:rsidR="00A36D89" w:rsidRPr="00CF0C0C" w:rsidRDefault="00A36D89" w:rsidP="00A36D8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0C0C">
        <w:rPr>
          <w:rFonts w:ascii="Times New Roman" w:hAnsi="Times New Roman" w:cs="Times New Roman"/>
          <w:sz w:val="28"/>
        </w:rPr>
        <w:t>3) внутренней диффузией.</w:t>
      </w:r>
    </w:p>
    <w:p w:rsidR="00A35995" w:rsidRDefault="00A35995">
      <w:bookmarkStart w:id="0" w:name="_GoBack"/>
      <w:bookmarkEnd w:id="0"/>
    </w:p>
    <w:sectPr w:rsidR="00A3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3"/>
    <w:rsid w:val="00A35995"/>
    <w:rsid w:val="00A36D89"/>
    <w:rsid w:val="00D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E275B6-526D-4BFE-9A8B-0D193CB9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2015-03-17T12:09:00Z</dcterms:created>
  <dcterms:modified xsi:type="dcterms:W3CDTF">2015-03-17T12:10:00Z</dcterms:modified>
</cp:coreProperties>
</file>