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15" w:rsidRDefault="009F2E00">
      <w:pPr>
        <w:rPr>
          <w:rFonts w:ascii="Times New Roman" w:hAnsi="Times New Roman" w:cs="Times New Roman"/>
          <w:sz w:val="28"/>
          <w:szCs w:val="28"/>
        </w:rPr>
      </w:pPr>
      <w:r w:rsidRPr="009F2E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Окалиностойкие стали с высоким омическим сопротивлением.</w:t>
      </w:r>
    </w:p>
    <w:p w:rsidR="009F2E00" w:rsidRDefault="009F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Латуни литейные и деформируемые. Области применения. Маркировки.</w:t>
      </w:r>
    </w:p>
    <w:p w:rsidR="009F2E00" w:rsidRDefault="009F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Термодинамика процесса кристаллизации.</w:t>
      </w:r>
    </w:p>
    <w:p w:rsidR="009F2E00" w:rsidRDefault="009F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типы кристаллических решеток металловю</w:t>
      </w:r>
    </w:p>
    <w:p w:rsidR="009F2E00" w:rsidRDefault="009F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Отжиг конструкционных сталей. Цель его проведения. Схема на примере стали.</w:t>
      </w:r>
    </w:p>
    <w:p w:rsidR="009F2E00" w:rsidRPr="009F2E00" w:rsidRDefault="009F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Расшифровать маркировки: Ст3Гпс2, У7, 09Г2С, </w:t>
      </w:r>
      <w:r w:rsidR="00E47B05">
        <w:rPr>
          <w:rFonts w:ascii="Times New Roman" w:hAnsi="Times New Roman" w:cs="Times New Roman"/>
          <w:sz w:val="28"/>
          <w:szCs w:val="28"/>
        </w:rPr>
        <w:t>12Х17Г9АН14, ЕХ5К5, 2312, 3413, АК8, А999, Л96, ЛД55Мц3Ж1, Бро3ц7СН1.</w:t>
      </w:r>
      <w:bookmarkStart w:id="0" w:name="_GoBack"/>
      <w:bookmarkEnd w:id="0"/>
    </w:p>
    <w:sectPr w:rsidR="009F2E00" w:rsidRPr="009F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41"/>
    <w:rsid w:val="00623F15"/>
    <w:rsid w:val="009F2E00"/>
    <w:rsid w:val="00E32B41"/>
    <w:rsid w:val="00E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5C93-E5B0-4775-A7C4-052890C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</dc:creator>
  <cp:keywords/>
  <dc:description/>
  <cp:lastModifiedBy>Алексей Николаевич</cp:lastModifiedBy>
  <cp:revision>3</cp:revision>
  <dcterms:created xsi:type="dcterms:W3CDTF">2015-02-27T11:20:00Z</dcterms:created>
  <dcterms:modified xsi:type="dcterms:W3CDTF">2015-02-27T11:32:00Z</dcterms:modified>
</cp:coreProperties>
</file>