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C47" w:rsidRPr="00887D7A" w:rsidRDefault="00CF0C47" w:rsidP="00CF0C47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7D7A">
        <w:rPr>
          <w:rFonts w:ascii="Times New Roman" w:hAnsi="Times New Roman" w:cs="Times New Roman"/>
          <w:b/>
          <w:bCs/>
          <w:sz w:val="28"/>
          <w:szCs w:val="28"/>
        </w:rPr>
        <w:t>Тема «Международные расчеты»</w:t>
      </w:r>
    </w:p>
    <w:p w:rsidR="00CF0C47" w:rsidRPr="00887D7A" w:rsidRDefault="00CF0C47" w:rsidP="00CF0C47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7D7A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</w:p>
    <w:p w:rsidR="00CF0C47" w:rsidRDefault="00CF0C47" w:rsidP="00CF0C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D7A">
        <w:rPr>
          <w:rFonts w:ascii="Times New Roman" w:hAnsi="Times New Roman" w:cs="Times New Roman"/>
          <w:sz w:val="28"/>
          <w:szCs w:val="28"/>
        </w:rPr>
        <w:t>Экспортер заключает договор на поставку товаров на сумму 1,8 млн. долл. При выборе формы расчета он согласен, самое позднее, на получение платежа по прибытию судна в названный морской порт, импортер – на срок платежа не позднее 30 дней после отправки товара либо на открытие аккредитива в пользу экспортера. Таким образом, речь может идти либо об использовании документар</w:t>
      </w:r>
      <w:r>
        <w:rPr>
          <w:rFonts w:ascii="Times New Roman" w:hAnsi="Times New Roman" w:cs="Times New Roman"/>
          <w:sz w:val="28"/>
          <w:szCs w:val="28"/>
        </w:rPr>
        <w:t>ного инкассо, либо аккредитива.</w:t>
      </w:r>
    </w:p>
    <w:p w:rsidR="00CF0C47" w:rsidRPr="00887D7A" w:rsidRDefault="00CF0C47" w:rsidP="00CF0C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D7A">
        <w:rPr>
          <w:rFonts w:ascii="Times New Roman" w:hAnsi="Times New Roman" w:cs="Times New Roman"/>
          <w:sz w:val="28"/>
          <w:szCs w:val="28"/>
        </w:rPr>
        <w:t>Продолжительность транспортировки составляет 40 дней. Процентная ставка по дебиторской задолженности равна 9%, по экспортному векселю 5%.</w:t>
      </w:r>
    </w:p>
    <w:p w:rsidR="00CF0C47" w:rsidRPr="00887D7A" w:rsidRDefault="00CF0C47" w:rsidP="00CF0C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7D7A">
        <w:rPr>
          <w:rFonts w:ascii="Times New Roman" w:hAnsi="Times New Roman" w:cs="Times New Roman"/>
          <w:sz w:val="28"/>
          <w:szCs w:val="28"/>
        </w:rPr>
        <w:t>Обосновать отличие форм расчета на условиях платежа “документарное инкассо” и “аккредитив”.</w:t>
      </w:r>
    </w:p>
    <w:p w:rsidR="00EE091C" w:rsidRDefault="00CF0C47">
      <w:bookmarkStart w:id="0" w:name="_GoBack"/>
      <w:bookmarkEnd w:id="0"/>
    </w:p>
    <w:sectPr w:rsidR="00EE0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89"/>
    <w:rsid w:val="004D4789"/>
    <w:rsid w:val="00C63675"/>
    <w:rsid w:val="00CF0C47"/>
    <w:rsid w:val="00F9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1561B-E24B-4E09-982E-185AD75D1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2</cp:revision>
  <dcterms:created xsi:type="dcterms:W3CDTF">2015-02-15T16:17:00Z</dcterms:created>
  <dcterms:modified xsi:type="dcterms:W3CDTF">2015-02-15T16:17:00Z</dcterms:modified>
</cp:coreProperties>
</file>