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49" w:rsidRDefault="00034549" w:rsidP="000345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исходных данных определите, что выгоднее для предприятия — производство фасованного молока, кефира или сметаны.                                                                Калькуляция затрат на производство молочной продукции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73"/>
        <w:gridCol w:w="1718"/>
        <w:gridCol w:w="2004"/>
        <w:gridCol w:w="1746"/>
      </w:tblGrid>
      <w:tr w:rsidR="00034549" w:rsidTr="00034549">
        <w:trPr>
          <w:trHeight w:val="286"/>
        </w:trPr>
        <w:tc>
          <w:tcPr>
            <w:tcW w:w="41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</w:p>
          <w:p w:rsidR="00034549" w:rsidRDefault="000345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 xml:space="preserve">    Статьи калькуляции</w:t>
            </w:r>
          </w:p>
        </w:tc>
        <w:tc>
          <w:tcPr>
            <w:tcW w:w="54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Затраты на 1 т продукции, руб.</w:t>
            </w:r>
          </w:p>
        </w:tc>
      </w:tr>
      <w:tr w:rsidR="00034549" w:rsidTr="00034549">
        <w:tc>
          <w:tcPr>
            <w:tcW w:w="41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34549" w:rsidRDefault="00034549">
            <w:pPr>
              <w:spacing w:after="0" w:line="240" w:lineRule="auto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Молоко фасованное 2,5%</w:t>
            </w:r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Кефир фасованный 2,5%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Сметана фасованная 15%</w:t>
            </w:r>
          </w:p>
        </w:tc>
      </w:tr>
      <w:tr w:rsidR="00034549" w:rsidTr="00034549">
        <w:tc>
          <w:tcPr>
            <w:tcW w:w="4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Сырье и основные материалы</w:t>
            </w:r>
          </w:p>
        </w:tc>
        <w:tc>
          <w:tcPr>
            <w:tcW w:w="1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2132</w:t>
            </w:r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2308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11040</w:t>
            </w:r>
          </w:p>
        </w:tc>
      </w:tr>
      <w:tr w:rsidR="00034549" w:rsidTr="00034549">
        <w:tc>
          <w:tcPr>
            <w:tcW w:w="4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204</w:t>
            </w:r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204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1236</w:t>
            </w:r>
          </w:p>
        </w:tc>
      </w:tr>
      <w:tr w:rsidR="00034549" w:rsidTr="00034549">
        <w:tc>
          <w:tcPr>
            <w:tcW w:w="4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Вспомогательные материалы</w:t>
            </w:r>
          </w:p>
        </w:tc>
        <w:tc>
          <w:tcPr>
            <w:tcW w:w="1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740</w:t>
            </w:r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788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60</w:t>
            </w:r>
          </w:p>
        </w:tc>
      </w:tr>
      <w:tr w:rsidR="00034549" w:rsidTr="00034549">
        <w:tc>
          <w:tcPr>
            <w:tcW w:w="4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Топливо и энергия на технологические нужды</w:t>
            </w:r>
          </w:p>
        </w:tc>
        <w:tc>
          <w:tcPr>
            <w:tcW w:w="1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266</w:t>
            </w:r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288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1250</w:t>
            </w:r>
          </w:p>
        </w:tc>
      </w:tr>
      <w:tr w:rsidR="00034549" w:rsidTr="00034549">
        <w:tc>
          <w:tcPr>
            <w:tcW w:w="4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Заработная плата производственных рабочих с начислениями</w:t>
            </w:r>
          </w:p>
        </w:tc>
        <w:tc>
          <w:tcPr>
            <w:tcW w:w="1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50</w:t>
            </w:r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58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34</w:t>
            </w:r>
          </w:p>
        </w:tc>
      </w:tr>
      <w:tr w:rsidR="00034549" w:rsidTr="00034549">
        <w:tc>
          <w:tcPr>
            <w:tcW w:w="4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Расходы на содержание и эксплуатацию оборудования</w:t>
            </w:r>
          </w:p>
        </w:tc>
        <w:tc>
          <w:tcPr>
            <w:tcW w:w="1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320</w:t>
            </w:r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426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1202</w:t>
            </w:r>
          </w:p>
        </w:tc>
      </w:tr>
      <w:tr w:rsidR="00034549" w:rsidTr="00034549">
        <w:tc>
          <w:tcPr>
            <w:tcW w:w="4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Переменные расходы</w:t>
            </w:r>
          </w:p>
        </w:tc>
        <w:tc>
          <w:tcPr>
            <w:tcW w:w="1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</w:p>
        </w:tc>
      </w:tr>
      <w:tr w:rsidR="00034549" w:rsidTr="00034549">
        <w:tc>
          <w:tcPr>
            <w:tcW w:w="4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Цеховые расходы</w:t>
            </w:r>
          </w:p>
        </w:tc>
        <w:tc>
          <w:tcPr>
            <w:tcW w:w="1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90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100</w:t>
            </w:r>
          </w:p>
        </w:tc>
      </w:tr>
      <w:tr w:rsidR="00034549" w:rsidTr="00034549">
        <w:tc>
          <w:tcPr>
            <w:tcW w:w="4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Общезаводские расходы</w:t>
            </w:r>
          </w:p>
        </w:tc>
        <w:tc>
          <w:tcPr>
            <w:tcW w:w="1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380</w:t>
            </w:r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454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486</w:t>
            </w:r>
          </w:p>
        </w:tc>
      </w:tr>
      <w:tr w:rsidR="00034549" w:rsidTr="00034549">
        <w:tc>
          <w:tcPr>
            <w:tcW w:w="4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Полная себестоимость</w:t>
            </w:r>
          </w:p>
        </w:tc>
        <w:tc>
          <w:tcPr>
            <w:tcW w:w="1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</w:p>
        </w:tc>
      </w:tr>
      <w:tr w:rsidR="00034549" w:rsidTr="00034549">
        <w:tc>
          <w:tcPr>
            <w:tcW w:w="4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Рыночная цена в розничной торговле</w:t>
            </w:r>
          </w:p>
        </w:tc>
        <w:tc>
          <w:tcPr>
            <w:tcW w:w="1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10000</w:t>
            </w:r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11000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26000</w:t>
            </w:r>
          </w:p>
        </w:tc>
      </w:tr>
      <w:tr w:rsidR="00034549" w:rsidTr="00034549">
        <w:tc>
          <w:tcPr>
            <w:tcW w:w="4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 xml:space="preserve">Снабженческо-сбытовая надбавка </w:t>
            </w:r>
            <w:proofErr w:type="gramStart"/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в</w:t>
            </w:r>
            <w:proofErr w:type="gramEnd"/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 xml:space="preserve"> % к отпускной цене</w:t>
            </w:r>
          </w:p>
        </w:tc>
        <w:tc>
          <w:tcPr>
            <w:tcW w:w="1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25</w:t>
            </w:r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25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25</w:t>
            </w:r>
          </w:p>
        </w:tc>
      </w:tr>
      <w:tr w:rsidR="00034549" w:rsidTr="00034549">
        <w:tc>
          <w:tcPr>
            <w:tcW w:w="4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 xml:space="preserve">Торговая надбавка, </w:t>
            </w:r>
            <w:proofErr w:type="gramStart"/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в</w:t>
            </w:r>
            <w:proofErr w:type="gramEnd"/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 xml:space="preserve"> % </w:t>
            </w:r>
            <w:proofErr w:type="gramStart"/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к</w:t>
            </w:r>
            <w:proofErr w:type="gramEnd"/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 xml:space="preserve"> цене закупки</w:t>
            </w:r>
          </w:p>
        </w:tc>
        <w:tc>
          <w:tcPr>
            <w:tcW w:w="1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15</w:t>
            </w:r>
          </w:p>
        </w:tc>
      </w:tr>
      <w:tr w:rsidR="00034549" w:rsidTr="00034549">
        <w:tc>
          <w:tcPr>
            <w:tcW w:w="4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Прибыль производителя по полным затратам</w:t>
            </w:r>
          </w:p>
        </w:tc>
        <w:tc>
          <w:tcPr>
            <w:tcW w:w="1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</w:p>
        </w:tc>
      </w:tr>
      <w:tr w:rsidR="00034549" w:rsidTr="00034549">
        <w:tc>
          <w:tcPr>
            <w:tcW w:w="4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Прибыль производителя по сокращенным затратам</w:t>
            </w:r>
          </w:p>
        </w:tc>
        <w:tc>
          <w:tcPr>
            <w:tcW w:w="1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</w:p>
        </w:tc>
      </w:tr>
      <w:tr w:rsidR="00034549" w:rsidTr="00034549">
        <w:tc>
          <w:tcPr>
            <w:tcW w:w="4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Рентабельность по полным затратам</w:t>
            </w:r>
          </w:p>
        </w:tc>
        <w:tc>
          <w:tcPr>
            <w:tcW w:w="1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</w:p>
        </w:tc>
      </w:tr>
      <w:tr w:rsidR="00034549" w:rsidTr="00034549">
        <w:tc>
          <w:tcPr>
            <w:tcW w:w="41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  <w:r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  <w:t>Рентабельность по сокращенным затратам</w:t>
            </w:r>
          </w:p>
        </w:tc>
        <w:tc>
          <w:tcPr>
            <w:tcW w:w="17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549" w:rsidRDefault="0003454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Arial Unicode MS" w:hAnsi="Arial"/>
                <w:kern w:val="2"/>
                <w:sz w:val="20"/>
                <w:szCs w:val="24"/>
                <w:lang w:eastAsia="ru-RU"/>
              </w:rPr>
            </w:pPr>
          </w:p>
        </w:tc>
      </w:tr>
    </w:tbl>
    <w:p w:rsidR="00034549" w:rsidRDefault="00034549" w:rsidP="00034549">
      <w:pPr>
        <w:rPr>
          <w:rFonts w:ascii="Times New Roman" w:hAnsi="Times New Roman"/>
          <w:sz w:val="28"/>
          <w:szCs w:val="28"/>
        </w:rPr>
      </w:pPr>
    </w:p>
    <w:p w:rsidR="00206B23" w:rsidRDefault="00206B23">
      <w:bookmarkStart w:id="0" w:name="_GoBack"/>
      <w:bookmarkEnd w:id="0"/>
    </w:p>
    <w:sectPr w:rsidR="0020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10"/>
    <w:rsid w:val="00034549"/>
    <w:rsid w:val="00206B23"/>
    <w:rsid w:val="00E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2014-12-15T11:43:00Z</dcterms:created>
  <dcterms:modified xsi:type="dcterms:W3CDTF">2014-12-15T11:44:00Z</dcterms:modified>
</cp:coreProperties>
</file>