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0" w:rsidRPr="00C471F4" w:rsidRDefault="007B1A10" w:rsidP="007B1A10">
      <w:pPr>
        <w:rPr>
          <w:rFonts w:ascii="Times New Roman" w:hAnsi="Times New Roman" w:cs="Times New Roman"/>
          <w:sz w:val="32"/>
          <w:szCs w:val="32"/>
        </w:rPr>
      </w:pPr>
    </w:p>
    <w:p w:rsidR="007B1A10" w:rsidRPr="005644DB" w:rsidRDefault="007B1A10" w:rsidP="007B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b/>
          <w:sz w:val="24"/>
          <w:szCs w:val="24"/>
          <w:u w:val="single"/>
        </w:rPr>
        <w:t>Структурное исследование плоских рычажных механизмов</w:t>
      </w:r>
    </w:p>
    <w:p w:rsidR="007B1A10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b/>
          <w:i/>
          <w:sz w:val="24"/>
          <w:szCs w:val="24"/>
        </w:rPr>
        <w:t>Задание.</w:t>
      </w: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1.2. Пронумеровать зве</w:t>
      </w:r>
      <w:r>
        <w:rPr>
          <w:rFonts w:ascii="Times New Roman" w:hAnsi="Times New Roman" w:cs="Times New Roman"/>
          <w:sz w:val="24"/>
          <w:szCs w:val="24"/>
        </w:rPr>
        <w:t>нья арабскими цифрами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>последний номер неподвижному звену (стойке).</w:t>
      </w: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Установить класс каждой кинематической пары, образуемой звеньями механизма.</w:t>
      </w: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1.3. Рассчитать степе</w:t>
      </w:r>
      <w:r>
        <w:rPr>
          <w:rFonts w:ascii="Times New Roman" w:hAnsi="Times New Roman" w:cs="Times New Roman"/>
          <w:sz w:val="24"/>
          <w:szCs w:val="24"/>
        </w:rPr>
        <w:t>нь подвижности механизма</w:t>
      </w:r>
      <w:r w:rsidRPr="005644DB">
        <w:rPr>
          <w:rFonts w:ascii="Times New Roman" w:hAnsi="Times New Roman" w:cs="Times New Roman"/>
          <w:sz w:val="24"/>
          <w:szCs w:val="24"/>
        </w:rPr>
        <w:t>. Если в механизме присутствуют пассивные связи и (или) местные подвижности, избавиться от них и повторить расчет.</w:t>
      </w: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1.4. Заменить высшие пары (если они имеются в механизме) кинематическими цепями с низшими парами; замену произвести непосредственно на кинематической схеме, для обозначения фиктивных звеньев в заменяющем механизме использовать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r w:rsidRPr="005622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и т</w:t>
      </w:r>
      <w:r w:rsidRPr="005644DB">
        <w:rPr>
          <w:rFonts w:ascii="Times New Roman" w:hAnsi="Times New Roman" w:cs="Times New Roman"/>
          <w:sz w:val="24"/>
          <w:szCs w:val="24"/>
        </w:rPr>
        <w:t>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 xml:space="preserve">Определить степень подвижности заменяющего механизма, результат сопоставить </w:t>
      </w:r>
      <w:proofErr w:type="gramStart"/>
      <w:r w:rsidRPr="005644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полученным в п. 1.3.</w:t>
      </w:r>
    </w:p>
    <w:p w:rsidR="007B1A10" w:rsidRPr="005644DB" w:rsidRDefault="007B1A10" w:rsidP="007B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1.5. Для заменяющего механизма вычертить структурную схему (если это требуется для облегчения структурного анализа); установить возможные варианты выбора начальных звеньев и для каждого варианта написать формулу строения механизма.</w:t>
      </w:r>
    </w:p>
    <w:p w:rsidR="007B1A10" w:rsidRDefault="007B1A10" w:rsidP="007B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Для каждой формулы строения указать класс, вид и порядок структурных групп, а также класс механизма.</w:t>
      </w:r>
    </w:p>
    <w:p w:rsidR="007B1A10" w:rsidRDefault="007B1A10" w:rsidP="007B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A10" w:rsidRDefault="007B1A10" w:rsidP="007B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A10" w:rsidRPr="005644DB" w:rsidRDefault="007B1A10" w:rsidP="007B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8850" cy="2878455"/>
            <wp:effectExtent l="19050" t="0" r="6350" b="0"/>
            <wp:docPr id="1" name="Рисунок 1" descr="D:\Документы Стёпы\Век живи,век учись\Курс 2\ТММ\Первая работа второй риси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тёпы\Век живи,век учись\Курс 2\ТММ\Первая работа второй риси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8B" w:rsidRDefault="0052088B"/>
    <w:sectPr w:rsidR="0052088B" w:rsidSect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10"/>
    <w:rsid w:val="0052088B"/>
    <w:rsid w:val="007B1A10"/>
    <w:rsid w:val="00A3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2014-12-07T12:40:00Z</dcterms:created>
  <dcterms:modified xsi:type="dcterms:W3CDTF">2014-12-07T12:46:00Z</dcterms:modified>
</cp:coreProperties>
</file>